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1" w:type="dxa"/>
        <w:tblInd w:w="-601" w:type="dxa"/>
        <w:tblLook w:val="01E0"/>
      </w:tblPr>
      <w:tblGrid>
        <w:gridCol w:w="4746"/>
        <w:gridCol w:w="6145"/>
      </w:tblGrid>
      <w:tr w:rsidR="00B64F8C" w:rsidRPr="00DE0189" w:rsidTr="007E6A06">
        <w:trPr>
          <w:trHeight w:val="1881"/>
        </w:trPr>
        <w:tc>
          <w:tcPr>
            <w:tcW w:w="4746" w:type="dxa"/>
          </w:tcPr>
          <w:p w:rsidR="00B64F8C" w:rsidRPr="00DE0189" w:rsidRDefault="00B64F8C" w:rsidP="00E67847">
            <w:pPr>
              <w:pStyle w:val="Heading1"/>
              <w:spacing w:before="0"/>
              <w:jc w:val="center"/>
              <w:rPr>
                <w:rFonts w:ascii="Times New Roman" w:hAnsi="Times New Roman"/>
                <w:b w:val="0"/>
                <w:color w:val="auto"/>
                <w:sz w:val="24"/>
                <w:szCs w:val="24"/>
              </w:rPr>
            </w:pPr>
            <w:r w:rsidRPr="00DE0189">
              <w:rPr>
                <w:rFonts w:ascii="Times New Roman" w:hAnsi="Times New Roman"/>
                <w:b w:val="0"/>
                <w:color w:val="auto"/>
                <w:sz w:val="24"/>
                <w:szCs w:val="24"/>
              </w:rPr>
              <w:t>TRƯỜNG ĐẠI HỌC SƯ PHẠM KỸ THUẬT</w:t>
            </w:r>
          </w:p>
          <w:p w:rsidR="00B64F8C" w:rsidRPr="00DE0189" w:rsidRDefault="00B64F8C" w:rsidP="00E67847">
            <w:pPr>
              <w:pStyle w:val="Heading1"/>
              <w:spacing w:before="0"/>
              <w:jc w:val="center"/>
              <w:rPr>
                <w:rFonts w:ascii="Times New Roman" w:hAnsi="Times New Roman"/>
                <w:b w:val="0"/>
                <w:color w:val="auto"/>
                <w:sz w:val="24"/>
                <w:szCs w:val="24"/>
              </w:rPr>
            </w:pPr>
            <w:r w:rsidRPr="00DE0189">
              <w:rPr>
                <w:rFonts w:ascii="Times New Roman" w:hAnsi="Times New Roman"/>
                <w:b w:val="0"/>
                <w:color w:val="auto"/>
                <w:sz w:val="24"/>
                <w:szCs w:val="24"/>
              </w:rPr>
              <w:t>THÀNH PHỐ HỒ CHÍ MINH</w:t>
            </w:r>
          </w:p>
          <w:p w:rsidR="00B64F8C" w:rsidRPr="00DE0189" w:rsidRDefault="00B64F8C" w:rsidP="00E67847">
            <w:pPr>
              <w:tabs>
                <w:tab w:val="left" w:leader="dot" w:pos="2275"/>
              </w:tabs>
              <w:spacing w:line="360" w:lineRule="atLeast"/>
              <w:jc w:val="center"/>
              <w:rPr>
                <w:b/>
              </w:rPr>
            </w:pPr>
            <w:r w:rsidRPr="00DE0189">
              <w:rPr>
                <w:b/>
              </w:rPr>
              <w:t>KHOA KINH TẾ</w:t>
            </w:r>
          </w:p>
          <w:p w:rsidR="00B64F8C" w:rsidRPr="00DE0189" w:rsidRDefault="00B64F8C" w:rsidP="00E67847">
            <w:pPr>
              <w:tabs>
                <w:tab w:val="left" w:leader="dot" w:pos="3861"/>
              </w:tabs>
              <w:spacing w:line="360" w:lineRule="atLeast"/>
              <w:jc w:val="center"/>
            </w:pPr>
            <w:r w:rsidRPr="00DE0189">
              <w:rPr>
                <w:b/>
              </w:rPr>
              <w:t>-------------------------</w:t>
            </w:r>
          </w:p>
        </w:tc>
        <w:tc>
          <w:tcPr>
            <w:tcW w:w="6145" w:type="dxa"/>
          </w:tcPr>
          <w:p w:rsidR="00B64F8C" w:rsidRPr="00DE0189" w:rsidRDefault="00B64F8C" w:rsidP="00E67847">
            <w:pPr>
              <w:tabs>
                <w:tab w:val="left" w:pos="33"/>
                <w:tab w:val="right" w:pos="5136"/>
              </w:tabs>
              <w:rPr>
                <w:b/>
              </w:rPr>
            </w:pPr>
            <w:r w:rsidRPr="00DE0189">
              <w:rPr>
                <w:b/>
              </w:rPr>
              <w:t>ĐỀ THI CUỐI KỲ HỌC KỲ II NĂM HỌC: 2016-2017</w:t>
            </w:r>
            <w:r w:rsidRPr="00DE0189">
              <w:rPr>
                <w:b/>
              </w:rPr>
              <w:tab/>
              <w:t xml:space="preserve"> </w:t>
            </w:r>
          </w:p>
          <w:p w:rsidR="00B64F8C" w:rsidRPr="00DE0189" w:rsidRDefault="00B64F8C" w:rsidP="00E67847">
            <w:pPr>
              <w:tabs>
                <w:tab w:val="left" w:leader="dot" w:pos="33"/>
                <w:tab w:val="right" w:leader="dot" w:pos="5136"/>
              </w:tabs>
              <w:rPr>
                <w:b/>
              </w:rPr>
            </w:pPr>
            <w:r w:rsidRPr="00DE0189">
              <w:rPr>
                <w:b/>
              </w:rPr>
              <w:t>Môn: LUẬT KINH TẾ</w:t>
            </w:r>
          </w:p>
          <w:p w:rsidR="00B64F8C" w:rsidRPr="00DE0189" w:rsidRDefault="00B64F8C" w:rsidP="00E67847">
            <w:pPr>
              <w:tabs>
                <w:tab w:val="left" w:leader="dot" w:pos="33"/>
                <w:tab w:val="right" w:leader="dot" w:pos="5170"/>
              </w:tabs>
            </w:pPr>
            <w:r w:rsidRPr="00DE0189">
              <w:t>Mã môn học: BLAW 230308</w:t>
            </w:r>
          </w:p>
          <w:p w:rsidR="00B64F8C" w:rsidRPr="00DE0189" w:rsidRDefault="00B64F8C" w:rsidP="00E67847">
            <w:pPr>
              <w:tabs>
                <w:tab w:val="left" w:leader="dot" w:pos="33"/>
                <w:tab w:val="right" w:leader="dot" w:pos="2186"/>
                <w:tab w:val="right" w:leader="dot" w:pos="4454"/>
              </w:tabs>
            </w:pPr>
            <w:r w:rsidRPr="00DE0189">
              <w:t>Đề số/Mã đề:  001 Đề thi có 02 trang.</w:t>
            </w:r>
          </w:p>
          <w:p w:rsidR="00B64F8C" w:rsidRPr="00DE0189" w:rsidRDefault="00B64F8C" w:rsidP="00E67847">
            <w:pPr>
              <w:tabs>
                <w:tab w:val="left" w:pos="33"/>
                <w:tab w:val="left" w:leader="dot" w:pos="1449"/>
                <w:tab w:val="right" w:pos="5136"/>
              </w:tabs>
            </w:pPr>
            <w:r w:rsidRPr="00DE0189">
              <w:t>Thời gian: 75 phút.</w:t>
            </w:r>
          </w:p>
          <w:p w:rsidR="00B64F8C" w:rsidRPr="00DE0189" w:rsidRDefault="00B64F8C" w:rsidP="00E67847">
            <w:pPr>
              <w:tabs>
                <w:tab w:val="left" w:pos="33"/>
                <w:tab w:val="right" w:pos="4428"/>
              </w:tabs>
            </w:pPr>
            <w:r w:rsidRPr="00DE0189">
              <w:t>Được phép sử dụng tài liệu.</w:t>
            </w:r>
          </w:p>
        </w:tc>
      </w:tr>
    </w:tbl>
    <w:p w:rsidR="00B64F8C" w:rsidRPr="00DE0189" w:rsidRDefault="00B64F8C" w:rsidP="00B64F8C">
      <w:pPr>
        <w:tabs>
          <w:tab w:val="left" w:pos="0"/>
          <w:tab w:val="left" w:pos="284"/>
          <w:tab w:val="right" w:pos="9072"/>
        </w:tabs>
        <w:rPr>
          <w:b/>
        </w:rPr>
      </w:pPr>
    </w:p>
    <w:p w:rsidR="00B64F8C" w:rsidRPr="00DE0189" w:rsidRDefault="00B64F8C" w:rsidP="00B64F8C">
      <w:pPr>
        <w:tabs>
          <w:tab w:val="left" w:pos="284"/>
          <w:tab w:val="right" w:pos="9072"/>
        </w:tabs>
        <w:spacing w:line="360" w:lineRule="auto"/>
        <w:rPr>
          <w:b/>
        </w:rPr>
      </w:pPr>
      <w:r w:rsidRPr="00DE0189">
        <w:rPr>
          <w:b/>
        </w:rPr>
        <w:t xml:space="preserve">Câu 1: ( 5 điểm) </w:t>
      </w:r>
    </w:p>
    <w:p w:rsidR="00B64F8C" w:rsidRPr="00DE0189" w:rsidRDefault="00B64F8C" w:rsidP="00B64F8C">
      <w:pPr>
        <w:spacing w:line="360" w:lineRule="auto"/>
        <w:ind w:left="284"/>
        <w:jc w:val="both"/>
        <w:rPr>
          <w:b/>
        </w:rPr>
      </w:pPr>
      <w:r w:rsidRPr="00DE0189">
        <w:rPr>
          <w:b/>
        </w:rPr>
        <w:t>Nhận định sau là Đúng hay Sai. Giải thích tại sao?</w:t>
      </w:r>
    </w:p>
    <w:p w:rsidR="00B64F8C" w:rsidRPr="00DE0189" w:rsidRDefault="00B64F8C" w:rsidP="00B64F8C">
      <w:pPr>
        <w:pStyle w:val="ListParagraph"/>
        <w:numPr>
          <w:ilvl w:val="0"/>
          <w:numId w:val="1"/>
        </w:numPr>
        <w:tabs>
          <w:tab w:val="left" w:pos="0"/>
          <w:tab w:val="left" w:pos="284"/>
          <w:tab w:val="right" w:pos="9072"/>
        </w:tabs>
        <w:spacing w:line="360" w:lineRule="auto"/>
        <w:jc w:val="both"/>
      </w:pPr>
      <w:r w:rsidRPr="00DE0189">
        <w:t>Mọi cá nhân</w:t>
      </w:r>
      <w:r w:rsidR="00EF6543">
        <w:t>,</w:t>
      </w:r>
      <w:r w:rsidRPr="00DE0189">
        <w:t xml:space="preserve"> tổ chức khi góp vốn thành lập Doanh nghiệp phải tiến hành thủ tục chuyển quyền sở hữu tài sản góp vốn cho doanh nghiệp. </w:t>
      </w:r>
    </w:p>
    <w:p w:rsidR="00B64F8C" w:rsidRPr="00DE0189" w:rsidRDefault="00B64F8C" w:rsidP="00B64F8C">
      <w:pPr>
        <w:pStyle w:val="NormalWeb"/>
        <w:numPr>
          <w:ilvl w:val="0"/>
          <w:numId w:val="1"/>
        </w:numPr>
        <w:shd w:val="clear" w:color="auto" w:fill="FFFFFF"/>
        <w:spacing w:before="0" w:beforeAutospacing="0" w:after="0" w:afterAutospacing="0" w:line="360" w:lineRule="auto"/>
        <w:jc w:val="both"/>
      </w:pPr>
      <w:r w:rsidRPr="00DE0189">
        <w:t>Tài sản thế chấp luôn được giao cho  bên thế chấp giữ.</w:t>
      </w:r>
    </w:p>
    <w:p w:rsidR="00B64F8C" w:rsidRPr="00DE0189" w:rsidRDefault="00B64F8C" w:rsidP="00B64F8C">
      <w:pPr>
        <w:pStyle w:val="NormalWeb"/>
        <w:numPr>
          <w:ilvl w:val="0"/>
          <w:numId w:val="1"/>
        </w:numPr>
        <w:shd w:val="clear" w:color="auto" w:fill="FFFFFF"/>
        <w:spacing w:before="0" w:beforeAutospacing="0" w:after="0" w:afterAutospacing="0" w:line="360" w:lineRule="auto"/>
        <w:jc w:val="both"/>
      </w:pPr>
      <w:r w:rsidRPr="00DE0189">
        <w:t>Điều kiện áp dụng chế tài phạt vi phạm là phải có thiệt hại xảy ra với bên bị vi phạm</w:t>
      </w:r>
      <w:r w:rsidR="00EF6543">
        <w:t>.</w:t>
      </w:r>
    </w:p>
    <w:p w:rsidR="00B64F8C" w:rsidRPr="00DE0189" w:rsidRDefault="00B64F8C" w:rsidP="00B64F8C">
      <w:pPr>
        <w:pStyle w:val="NormalWeb"/>
        <w:numPr>
          <w:ilvl w:val="0"/>
          <w:numId w:val="1"/>
        </w:numPr>
        <w:shd w:val="clear" w:color="auto" w:fill="FFFFFF"/>
        <w:spacing w:before="0" w:beforeAutospacing="0" w:after="0" w:afterAutospacing="0" w:line="360" w:lineRule="auto"/>
        <w:jc w:val="both"/>
      </w:pPr>
      <w:r w:rsidRPr="00DE0189">
        <w:t xml:space="preserve">Hợp đồng được ký kết giữa công ty TNHH hai thành viên và người có liên quan của giám đốc công ty phải được Hội đồng thành viên chấp thuận thì mới có hiệu lực. </w:t>
      </w:r>
    </w:p>
    <w:p w:rsidR="00517396" w:rsidRPr="00DE0189" w:rsidRDefault="00517396" w:rsidP="00B64F8C">
      <w:pPr>
        <w:pStyle w:val="NormalWeb"/>
        <w:numPr>
          <w:ilvl w:val="0"/>
          <w:numId w:val="1"/>
        </w:numPr>
        <w:shd w:val="clear" w:color="auto" w:fill="FFFFFF"/>
        <w:spacing w:before="0" w:beforeAutospacing="0" w:after="0" w:afterAutospacing="0" w:line="360" w:lineRule="auto"/>
        <w:jc w:val="both"/>
      </w:pPr>
      <w:r w:rsidRPr="00DE0189">
        <w:t xml:space="preserve">Thành viên của công ty Hợp danh phải là cá nhân. </w:t>
      </w:r>
    </w:p>
    <w:p w:rsidR="00B64F8C" w:rsidRPr="00DE0189" w:rsidRDefault="00B64F8C" w:rsidP="00B64F8C">
      <w:pPr>
        <w:pStyle w:val="NormalWeb"/>
        <w:shd w:val="clear" w:color="auto" w:fill="FFFFFF"/>
        <w:spacing w:before="0" w:beforeAutospacing="0" w:after="0" w:afterAutospacing="0" w:line="360" w:lineRule="auto"/>
        <w:jc w:val="both"/>
        <w:rPr>
          <w:b/>
        </w:rPr>
      </w:pPr>
      <w:r w:rsidRPr="00DE0189">
        <w:rPr>
          <w:b/>
        </w:rPr>
        <w:t>Câu 2: (2 điểm)</w:t>
      </w:r>
    </w:p>
    <w:p w:rsidR="00E44F89" w:rsidRPr="00DE0189" w:rsidRDefault="00B64F8C" w:rsidP="00B64F8C">
      <w:pPr>
        <w:pStyle w:val="NormalWeb"/>
        <w:shd w:val="clear" w:color="auto" w:fill="FFFFFF"/>
        <w:spacing w:before="0" w:beforeAutospacing="0" w:after="0" w:afterAutospacing="0" w:line="360" w:lineRule="auto"/>
        <w:jc w:val="both"/>
      </w:pPr>
      <w:r w:rsidRPr="00DE0189">
        <w:rPr>
          <w:b/>
        </w:rPr>
        <w:t xml:space="preserve"> </w:t>
      </w:r>
      <w:r w:rsidRPr="00DE0189">
        <w:rPr>
          <w:b/>
        </w:rPr>
        <w:tab/>
      </w:r>
      <w:r w:rsidR="00E44F89" w:rsidRPr="00DE0189">
        <w:t xml:space="preserve">Trong Hợp đồng mua bán hàng hóa giữa công ty A và công ty B có điều khoản thỏa thuận việc giải quyết tranh chấp sẽ được </w:t>
      </w:r>
      <w:r w:rsidR="00EF6543">
        <w:t>tiến hành</w:t>
      </w:r>
      <w:r w:rsidR="00E44F89" w:rsidRPr="00DE0189">
        <w:t xml:space="preserve"> tại Trung tâm trọng tài quốc tế Việt Nam (VIAC). Tuy nhiên khi có tranh chấp xảy ra công ty A đã khởi kiện công ty B tại Tòa án nhân dân. Vậy Tòa án có thẩm quyền giải quyết không. Tại sao</w:t>
      </w:r>
      <w:r w:rsidR="00EF6543">
        <w:t>?</w:t>
      </w:r>
    </w:p>
    <w:p w:rsidR="00B64F8C" w:rsidRPr="00DE0189" w:rsidRDefault="00E44F89" w:rsidP="00B64F8C">
      <w:pPr>
        <w:pStyle w:val="NormalWeb"/>
        <w:shd w:val="clear" w:color="auto" w:fill="FFFFFF"/>
        <w:spacing w:before="0" w:beforeAutospacing="0" w:after="0" w:afterAutospacing="0" w:line="360" w:lineRule="auto"/>
        <w:jc w:val="both"/>
      </w:pPr>
      <w:r w:rsidRPr="00DE0189">
        <w:t>Hãy so sánh ưu và nhược điểm của việc giải quyết tranh chấp bằng Tòa án và Trọng tài thương mại.</w:t>
      </w:r>
    </w:p>
    <w:p w:rsidR="00B64F8C" w:rsidRPr="00DE0189" w:rsidRDefault="00B64F8C" w:rsidP="00B64F8C">
      <w:pPr>
        <w:pStyle w:val="NormalWeb"/>
        <w:shd w:val="clear" w:color="auto" w:fill="FFFFFF"/>
        <w:spacing w:before="0" w:beforeAutospacing="0" w:after="0" w:afterAutospacing="0" w:line="360" w:lineRule="auto"/>
        <w:jc w:val="both"/>
        <w:rPr>
          <w:b/>
        </w:rPr>
      </w:pPr>
      <w:r w:rsidRPr="00DE0189">
        <w:rPr>
          <w:b/>
        </w:rPr>
        <w:t>Câu 3: (3 điểm)</w:t>
      </w:r>
    </w:p>
    <w:p w:rsidR="00B64F8C" w:rsidRPr="00DE0189" w:rsidRDefault="00B64F8C" w:rsidP="00B64F8C">
      <w:pPr>
        <w:pStyle w:val="NormalWeb"/>
        <w:shd w:val="clear" w:color="auto" w:fill="FFFFFF"/>
        <w:spacing w:before="0" w:beforeAutospacing="0" w:after="0" w:afterAutospacing="0" w:line="360" w:lineRule="auto"/>
        <w:ind w:firstLine="720"/>
        <w:jc w:val="both"/>
      </w:pPr>
      <w:r w:rsidRPr="00DE0189">
        <w:t xml:space="preserve">Công ty cổ phần Bình Minh được cấp giấy chứng nhận đăng ký kinh doanh vào ngày 15.5.2015  có trụ sở tại quận Tân Bình, Thành phố Hồ Chí Minh gồm có 5 cổ đông sáng lập là An, Tâm, Như, Bình, Minh. </w:t>
      </w:r>
      <w:r w:rsidR="007E6A06" w:rsidRPr="00DE0189">
        <w:t>Điều lệ công ty không có quy định khác so với quy định của pháp luật.</w:t>
      </w:r>
    </w:p>
    <w:p w:rsidR="00B64F8C" w:rsidRPr="00DE0189" w:rsidRDefault="00B64F8C" w:rsidP="00B64F8C">
      <w:pPr>
        <w:pStyle w:val="NormalWeb"/>
        <w:numPr>
          <w:ilvl w:val="0"/>
          <w:numId w:val="2"/>
        </w:numPr>
        <w:shd w:val="clear" w:color="auto" w:fill="FFFFFF"/>
        <w:spacing w:before="0" w:beforeAutospacing="0" w:after="0" w:afterAutospacing="0" w:line="360" w:lineRule="auto"/>
        <w:ind w:left="90" w:firstLine="0"/>
        <w:jc w:val="both"/>
      </w:pPr>
      <w:r w:rsidRPr="00DE0189">
        <w:t xml:space="preserve">Trong cuộc họp đại hội đồng cổ đông đầu tiên, ông An đề xuất nên mời ông Nguyên -một người có trình độ chuyên môn rất giỏi trong lĩnh vực mà công ty đang hoạt động làm chủ tịch Hội đồng quản trị. Tuy nhiên ông Bình lại phản đối vì cho rằng chủ tịch Hội đồng quản trị phải là cổ đông của công ty. Ý kiến của anh (chị) trong tình huống trên. </w:t>
      </w:r>
    </w:p>
    <w:p w:rsidR="007E6A06" w:rsidRPr="00DE0189" w:rsidRDefault="00B64F8C" w:rsidP="00B64F8C">
      <w:pPr>
        <w:pStyle w:val="NormalWeb"/>
        <w:numPr>
          <w:ilvl w:val="0"/>
          <w:numId w:val="2"/>
        </w:numPr>
        <w:shd w:val="clear" w:color="auto" w:fill="FFFFFF"/>
        <w:spacing w:before="0" w:beforeAutospacing="0" w:after="0" w:afterAutospacing="0" w:line="360" w:lineRule="auto"/>
        <w:ind w:left="90" w:firstLine="0"/>
        <w:jc w:val="both"/>
        <w:rPr>
          <w:i/>
        </w:rPr>
      </w:pPr>
      <w:r w:rsidRPr="00DE0189">
        <w:t>Vào tháng 5 năm 2017, công ty Bình Minh lâm vào tình trạng mất khả năng thanh toán. Bà Như – người sở hữu 15% cổ phần phổ thông và  10% cổ phần ưu đãi cổ tức của công ty muốn nộp đơn yêu cầu mở thủ tục phá sản công ty có đư</w:t>
      </w:r>
      <w:r w:rsidR="002E2F7B" w:rsidRPr="00DE0189">
        <w:t xml:space="preserve">ợc không. Tại sao? </w:t>
      </w:r>
    </w:p>
    <w:p w:rsidR="00B64F8C" w:rsidRPr="00DE0189" w:rsidRDefault="002E2F7B" w:rsidP="00B64F8C">
      <w:pPr>
        <w:pBdr>
          <w:top w:val="single" w:sz="4" w:space="1" w:color="auto"/>
        </w:pBdr>
        <w:spacing w:line="360" w:lineRule="auto"/>
        <w:rPr>
          <w:i/>
        </w:rPr>
      </w:pPr>
      <w:r w:rsidRPr="00DE0189">
        <w:rPr>
          <w:i/>
        </w:rPr>
        <w:t>Ghi chú: Cán bộ coi thi không giải thích đề thi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370"/>
      </w:tblGrid>
      <w:tr w:rsidR="00B64F8C" w:rsidRPr="00DE0189" w:rsidTr="00E67847">
        <w:tc>
          <w:tcPr>
            <w:tcW w:w="5920" w:type="dxa"/>
          </w:tcPr>
          <w:p w:rsidR="00B64F8C" w:rsidRPr="00DE0189" w:rsidRDefault="00B64F8C" w:rsidP="00E67847">
            <w:pPr>
              <w:spacing w:line="360" w:lineRule="auto"/>
              <w:rPr>
                <w:b/>
                <w:color w:val="C00000"/>
              </w:rPr>
            </w:pPr>
            <w:r w:rsidRPr="00DE0189">
              <w:rPr>
                <w:b/>
                <w:color w:val="C00000"/>
              </w:rPr>
              <w:lastRenderedPageBreak/>
              <w:t>Chuẩn đầu ra của học phần (về kiến thức)</w:t>
            </w:r>
          </w:p>
        </w:tc>
        <w:tc>
          <w:tcPr>
            <w:tcW w:w="3370" w:type="dxa"/>
          </w:tcPr>
          <w:p w:rsidR="00B64F8C" w:rsidRPr="00DE0189" w:rsidRDefault="00B64F8C" w:rsidP="00E67847">
            <w:pPr>
              <w:spacing w:line="360" w:lineRule="auto"/>
              <w:jc w:val="center"/>
              <w:rPr>
                <w:b/>
                <w:color w:val="C00000"/>
              </w:rPr>
            </w:pPr>
            <w:r w:rsidRPr="00DE0189">
              <w:rPr>
                <w:b/>
                <w:color w:val="C00000"/>
              </w:rPr>
              <w:t>Nội dung kiểm tra</w:t>
            </w:r>
          </w:p>
        </w:tc>
      </w:tr>
      <w:tr w:rsidR="00B64F8C" w:rsidRPr="00DE0189" w:rsidTr="00E67847">
        <w:tc>
          <w:tcPr>
            <w:tcW w:w="5920" w:type="dxa"/>
          </w:tcPr>
          <w:p w:rsidR="00B64F8C" w:rsidRPr="00DE0189" w:rsidRDefault="00B64F8C" w:rsidP="00E67847">
            <w:pPr>
              <w:tabs>
                <w:tab w:val="left" w:pos="1605"/>
              </w:tabs>
              <w:spacing w:line="360" w:lineRule="auto"/>
              <w:jc w:val="both"/>
            </w:pPr>
            <w:r w:rsidRPr="00DE0189">
              <w:t xml:space="preserve">[G 1.1]: </w:t>
            </w:r>
            <w:r w:rsidRPr="00DE0189">
              <w:rPr>
                <w:bCs/>
                <w:lang w:val="pt-BR"/>
              </w:rPr>
              <w:t>Trình bày được quy định của pháp luật về các vấn đề trong sản xuất kinh doanh như: đăng ký thành lập, chấm dứt doanh nghiệp; đặc điểm các loại hình doanh nghiệp, quy định về Hợp đồng, phá sản; giải quyết tranh chấp trong kinh doanh</w:t>
            </w:r>
          </w:p>
        </w:tc>
        <w:tc>
          <w:tcPr>
            <w:tcW w:w="3370" w:type="dxa"/>
          </w:tcPr>
          <w:p w:rsidR="00B64F8C" w:rsidRPr="00DE0189" w:rsidRDefault="00B64F8C" w:rsidP="00E67847">
            <w:pPr>
              <w:spacing w:line="360" w:lineRule="auto"/>
              <w:jc w:val="center"/>
            </w:pPr>
            <w:r w:rsidRPr="00DE0189">
              <w:t>Câu 1</w:t>
            </w:r>
          </w:p>
        </w:tc>
      </w:tr>
      <w:tr w:rsidR="00B64F8C" w:rsidRPr="00DE0189" w:rsidTr="00E67847">
        <w:tc>
          <w:tcPr>
            <w:tcW w:w="5920" w:type="dxa"/>
          </w:tcPr>
          <w:p w:rsidR="00B64F8C" w:rsidRPr="00DE0189" w:rsidRDefault="00B64F8C" w:rsidP="00517396">
            <w:r w:rsidRPr="00DE0189">
              <w:t>[</w:t>
            </w:r>
            <w:r w:rsidR="002E2F7B" w:rsidRPr="00DE0189">
              <w:t>G 2.</w:t>
            </w:r>
            <w:r w:rsidR="00517396" w:rsidRPr="00DE0189">
              <w:t>3</w:t>
            </w:r>
            <w:r w:rsidR="002E2F7B" w:rsidRPr="00DE0189">
              <w:t xml:space="preserve"> </w:t>
            </w:r>
            <w:r w:rsidRPr="00DE0189">
              <w:t>]:</w:t>
            </w:r>
            <w:r w:rsidRPr="00DE0189">
              <w:rPr>
                <w:lang w:val="pt-BR"/>
              </w:rPr>
              <w:t xml:space="preserve"> </w:t>
            </w:r>
            <w:r w:rsidR="00517396" w:rsidRPr="00DE0189">
              <w:rPr>
                <w:lang w:val="pt-BR"/>
              </w:rPr>
              <w:t>Lựa chọn các cơ quan và phương thức giải quyết tranh chấp phù hợp với tình huống  phát sinh trong thực tế</w:t>
            </w:r>
          </w:p>
        </w:tc>
        <w:tc>
          <w:tcPr>
            <w:tcW w:w="3370" w:type="dxa"/>
          </w:tcPr>
          <w:p w:rsidR="00B64F8C" w:rsidRPr="00DE0189" w:rsidRDefault="00B64F8C" w:rsidP="00E67847">
            <w:pPr>
              <w:jc w:val="center"/>
            </w:pPr>
            <w:r w:rsidRPr="00DE0189">
              <w:t>Câu 2</w:t>
            </w:r>
          </w:p>
        </w:tc>
      </w:tr>
      <w:tr w:rsidR="00B64F8C" w:rsidRPr="00DE0189" w:rsidTr="00E67847">
        <w:tc>
          <w:tcPr>
            <w:tcW w:w="5920" w:type="dxa"/>
          </w:tcPr>
          <w:p w:rsidR="00B64F8C" w:rsidRPr="00DE0189" w:rsidRDefault="00B64F8C" w:rsidP="00E67847">
            <w:pPr>
              <w:spacing w:line="360" w:lineRule="auto"/>
              <w:jc w:val="both"/>
            </w:pPr>
            <w:r w:rsidRPr="00DE0189">
              <w:t>[G 2.2]:</w:t>
            </w:r>
            <w:r w:rsidRPr="00DE0189">
              <w:rPr>
                <w:b/>
                <w:bCs/>
                <w:lang w:val="pt-BR"/>
              </w:rPr>
              <w:t xml:space="preserve"> </w:t>
            </w:r>
            <w:r w:rsidRPr="00DE0189">
              <w:rPr>
                <w:bCs/>
                <w:lang w:val="pt-BR"/>
              </w:rPr>
              <w:t>Vận dụng các quy định về quyền và nghĩa vụ các thành viên trong từng loại hình doanh nghiệp để bảo vệ quyền và lợi ích hợp pháp của mình, giải quyết các tranh chấp phát sinh trong nội bộ doanh nghiệp</w:t>
            </w:r>
          </w:p>
        </w:tc>
        <w:tc>
          <w:tcPr>
            <w:tcW w:w="3370" w:type="dxa"/>
          </w:tcPr>
          <w:p w:rsidR="00B64F8C" w:rsidRPr="00DE0189" w:rsidRDefault="00B64F8C" w:rsidP="00E67847">
            <w:pPr>
              <w:spacing w:line="360" w:lineRule="auto"/>
              <w:jc w:val="center"/>
            </w:pPr>
            <w:r w:rsidRPr="00DE0189">
              <w:t>Câu 3</w:t>
            </w:r>
          </w:p>
        </w:tc>
      </w:tr>
    </w:tbl>
    <w:p w:rsidR="00B64F8C" w:rsidRPr="00DE0189" w:rsidRDefault="00B64F8C" w:rsidP="00B64F8C">
      <w:pPr>
        <w:rPr>
          <w:b/>
          <w:color w:val="C00000"/>
        </w:rPr>
      </w:pPr>
    </w:p>
    <w:p w:rsidR="00B64F8C" w:rsidRPr="00DE0189" w:rsidRDefault="00A7355F" w:rsidP="00B64F8C">
      <w:pPr>
        <w:rPr>
          <w:i/>
        </w:rPr>
      </w:pPr>
      <w:r w:rsidRPr="00A7355F">
        <w:rPr>
          <w:noProof/>
          <w:color w:val="C00000"/>
          <w:lang w:eastAsia="zh-TW"/>
        </w:rPr>
        <w:pict>
          <v:shapetype id="_x0000_t202" coordsize="21600,21600" o:spt="202" path="m,l,21600r21600,l21600,xe">
            <v:stroke joinstyle="miter"/>
            <v:path gradientshapeok="t" o:connecttype="rect"/>
          </v:shapetype>
          <v:shape id="_x0000_s1026" type="#_x0000_t202" style="position:absolute;margin-left:270.05pt;margin-top:5.55pt;width:180.65pt;height:91.9pt;z-index:251660288;mso-width-percent:400;mso-height-percent:200;mso-width-percent:400;mso-height-percent:200;mso-width-relative:margin;mso-height-relative:margin" strokecolor="white">
            <v:textbox style="mso-next-textbox:#_x0000_s1026;mso-fit-shape-to-text:t">
              <w:txbxContent>
                <w:p w:rsidR="00B64F8C" w:rsidRPr="00323A79" w:rsidRDefault="00B64F8C" w:rsidP="00B64F8C">
                  <w:pPr>
                    <w:jc w:val="center"/>
                    <w:rPr>
                      <w:sz w:val="26"/>
                    </w:rPr>
                  </w:pPr>
                  <w:r w:rsidRPr="00323A79">
                    <w:rPr>
                      <w:sz w:val="26"/>
                    </w:rPr>
                    <w:t>Ngày     tháng    năm 20</w:t>
                  </w:r>
                  <w:r>
                    <w:rPr>
                      <w:sz w:val="26"/>
                    </w:rPr>
                    <w:t>1</w:t>
                  </w:r>
                  <w:r w:rsidR="007618EF">
                    <w:rPr>
                      <w:sz w:val="26"/>
                    </w:rPr>
                    <w:t>7</w:t>
                  </w:r>
                </w:p>
                <w:p w:rsidR="00B64F8C" w:rsidRPr="00DE2D1E" w:rsidRDefault="00B64F8C" w:rsidP="00B64F8C">
                  <w:pPr>
                    <w:jc w:val="center"/>
                    <w:rPr>
                      <w:b/>
                    </w:rPr>
                  </w:pPr>
                  <w:r w:rsidRPr="00DE2D1E">
                    <w:rPr>
                      <w:b/>
                    </w:rPr>
                    <w:t>Thông qua bộ môn</w:t>
                  </w:r>
                </w:p>
                <w:p w:rsidR="00B64F8C" w:rsidRPr="00DE2D1E" w:rsidRDefault="00B64F8C" w:rsidP="00B64F8C">
                  <w:pPr>
                    <w:ind w:left="360"/>
                    <w:jc w:val="center"/>
                    <w:rPr>
                      <w:b/>
                    </w:rPr>
                  </w:pPr>
                </w:p>
                <w:p w:rsidR="00B64F8C" w:rsidRDefault="00B64F8C" w:rsidP="00B64F8C">
                  <w:pPr>
                    <w:jc w:val="center"/>
                    <w:rPr>
                      <w:i/>
                    </w:rPr>
                  </w:pPr>
                </w:p>
                <w:p w:rsidR="00B64F8C" w:rsidRDefault="00B64F8C" w:rsidP="00B64F8C">
                  <w:pPr>
                    <w:jc w:val="center"/>
                    <w:rPr>
                      <w:i/>
                    </w:rPr>
                  </w:pPr>
                </w:p>
                <w:p w:rsidR="00B64F8C" w:rsidRDefault="00B64F8C" w:rsidP="00B64F8C">
                  <w:pPr>
                    <w:jc w:val="center"/>
                    <w:rPr>
                      <w:i/>
                    </w:rPr>
                  </w:pPr>
                </w:p>
                <w:p w:rsidR="00B64F8C" w:rsidRDefault="00B64F8C" w:rsidP="00B64F8C">
                  <w:pPr>
                    <w:jc w:val="center"/>
                  </w:pPr>
                </w:p>
              </w:txbxContent>
            </v:textbox>
          </v:shape>
        </w:pict>
      </w:r>
    </w:p>
    <w:p w:rsidR="00B64F8C" w:rsidRPr="00DE0189" w:rsidRDefault="00B64F8C" w:rsidP="00B64F8C">
      <w:pPr>
        <w:ind w:left="720"/>
        <w:rPr>
          <w:color w:val="C00000"/>
        </w:rPr>
      </w:pPr>
      <w:r w:rsidRPr="00DE0189">
        <w:tab/>
      </w:r>
      <w:r w:rsidRPr="00DE0189">
        <w:tab/>
      </w:r>
      <w:r w:rsidRPr="00DE0189">
        <w:tab/>
      </w:r>
      <w:r w:rsidRPr="00DE0189">
        <w:tab/>
      </w:r>
      <w:r w:rsidRPr="00DE0189">
        <w:tab/>
      </w:r>
      <w:r w:rsidRPr="00DE0189">
        <w:tab/>
      </w:r>
      <w:r w:rsidRPr="00DE0189">
        <w:tab/>
      </w:r>
    </w:p>
    <w:p w:rsidR="00B64F8C" w:rsidRPr="00DE0189" w:rsidRDefault="00B64F8C" w:rsidP="00B64F8C"/>
    <w:p w:rsidR="00B64F8C" w:rsidRPr="00DE0189" w:rsidRDefault="00B64F8C" w:rsidP="00B64F8C"/>
    <w:p w:rsidR="00B64F8C" w:rsidRPr="00DE0189" w:rsidRDefault="00B64F8C" w:rsidP="00B64F8C"/>
    <w:p w:rsidR="00B64F8C" w:rsidRPr="00DE0189" w:rsidRDefault="00B64F8C" w:rsidP="00B64F8C"/>
    <w:p w:rsidR="00B64F8C" w:rsidRPr="00DE0189" w:rsidRDefault="00B64F8C" w:rsidP="00B64F8C">
      <w:pPr>
        <w:tabs>
          <w:tab w:val="left" w:pos="1495"/>
        </w:tabs>
      </w:pPr>
      <w:r w:rsidRPr="00DE0189">
        <w:tab/>
      </w:r>
    </w:p>
    <w:p w:rsidR="00B64F8C" w:rsidRPr="00DE0189" w:rsidRDefault="00B64F8C" w:rsidP="00B64F8C"/>
    <w:p w:rsidR="00B64F8C" w:rsidRPr="00DE0189" w:rsidRDefault="00B64F8C" w:rsidP="00B64F8C"/>
    <w:p w:rsidR="00B64F8C" w:rsidRPr="00DE0189" w:rsidRDefault="00B64F8C" w:rsidP="00B64F8C"/>
    <w:p w:rsidR="00B64F8C" w:rsidRPr="00DE0189" w:rsidRDefault="00B64F8C" w:rsidP="00B64F8C"/>
    <w:p w:rsidR="00B64F8C" w:rsidRPr="00DE0189" w:rsidRDefault="00B64F8C" w:rsidP="00B64F8C"/>
    <w:p w:rsidR="00B64F8C" w:rsidRPr="00DE0189" w:rsidRDefault="00B64F8C" w:rsidP="00B64F8C"/>
    <w:p w:rsidR="00B64F8C" w:rsidRPr="00DE0189" w:rsidRDefault="00B64F8C" w:rsidP="00B64F8C"/>
    <w:p w:rsidR="00B64F8C" w:rsidRPr="00DE0189" w:rsidRDefault="00B64F8C" w:rsidP="00B64F8C"/>
    <w:p w:rsidR="00B64F8C" w:rsidRPr="00DE0189" w:rsidRDefault="00B64F8C" w:rsidP="00B64F8C"/>
    <w:p w:rsidR="00B64F8C" w:rsidRPr="00DE0189" w:rsidRDefault="00B64F8C" w:rsidP="00B64F8C"/>
    <w:p w:rsidR="00B64F8C" w:rsidRPr="00DE0189" w:rsidRDefault="00B64F8C" w:rsidP="00B64F8C"/>
    <w:p w:rsidR="00B64F8C" w:rsidRPr="00DE0189" w:rsidRDefault="00B64F8C" w:rsidP="00B64F8C"/>
    <w:p w:rsidR="00B64F8C" w:rsidRPr="00DE0189" w:rsidRDefault="00B64F8C" w:rsidP="00B64F8C"/>
    <w:p w:rsidR="00B64F8C" w:rsidRPr="00DE0189" w:rsidRDefault="00B64F8C" w:rsidP="00B64F8C"/>
    <w:p w:rsidR="00B64F8C" w:rsidRPr="00DE0189" w:rsidRDefault="00B64F8C" w:rsidP="00B64F8C"/>
    <w:p w:rsidR="007618EF" w:rsidRPr="00DE0189" w:rsidRDefault="007618EF"/>
    <w:p w:rsidR="007618EF" w:rsidRPr="00DE0189" w:rsidRDefault="007618EF"/>
    <w:p w:rsidR="007618EF" w:rsidRPr="00DE0189" w:rsidRDefault="007618EF"/>
    <w:p w:rsidR="007618EF" w:rsidRPr="00DE0189" w:rsidRDefault="007618EF"/>
    <w:tbl>
      <w:tblPr>
        <w:tblW w:w="10699" w:type="dxa"/>
        <w:tblInd w:w="-601" w:type="dxa"/>
        <w:tblLook w:val="01E0"/>
      </w:tblPr>
      <w:tblGrid>
        <w:gridCol w:w="4537"/>
        <w:gridCol w:w="6162"/>
      </w:tblGrid>
      <w:tr w:rsidR="007618EF" w:rsidRPr="00DE0189" w:rsidTr="00E67847">
        <w:trPr>
          <w:trHeight w:val="2041"/>
        </w:trPr>
        <w:tc>
          <w:tcPr>
            <w:tcW w:w="4537" w:type="dxa"/>
          </w:tcPr>
          <w:p w:rsidR="007618EF" w:rsidRPr="00DE0189" w:rsidRDefault="007618EF" w:rsidP="00E67847">
            <w:pPr>
              <w:pStyle w:val="Heading1"/>
              <w:spacing w:before="0"/>
              <w:jc w:val="center"/>
              <w:rPr>
                <w:rFonts w:ascii="Times New Roman" w:hAnsi="Times New Roman"/>
                <w:b w:val="0"/>
                <w:sz w:val="24"/>
                <w:szCs w:val="24"/>
              </w:rPr>
            </w:pPr>
            <w:r w:rsidRPr="00DE0189">
              <w:rPr>
                <w:rFonts w:ascii="Times New Roman" w:hAnsi="Times New Roman"/>
                <w:b w:val="0"/>
                <w:sz w:val="24"/>
                <w:szCs w:val="24"/>
              </w:rPr>
              <w:t>TRƯỜNG ĐẠI HỌC SƯ PHẠM KỸ THUẬT</w:t>
            </w:r>
          </w:p>
          <w:p w:rsidR="007618EF" w:rsidRPr="00DE0189" w:rsidRDefault="007618EF" w:rsidP="00E67847">
            <w:pPr>
              <w:pStyle w:val="Heading1"/>
              <w:spacing w:before="0"/>
              <w:jc w:val="center"/>
              <w:rPr>
                <w:rFonts w:ascii="Times New Roman" w:hAnsi="Times New Roman"/>
                <w:b w:val="0"/>
                <w:sz w:val="24"/>
                <w:szCs w:val="24"/>
              </w:rPr>
            </w:pPr>
            <w:r w:rsidRPr="00DE0189">
              <w:rPr>
                <w:rFonts w:ascii="Times New Roman" w:hAnsi="Times New Roman"/>
                <w:b w:val="0"/>
                <w:sz w:val="24"/>
                <w:szCs w:val="24"/>
              </w:rPr>
              <w:t>THÀNH PHỐ HỒ CHÍ MINH</w:t>
            </w:r>
          </w:p>
          <w:p w:rsidR="007618EF" w:rsidRPr="00DE0189" w:rsidRDefault="007618EF" w:rsidP="00E67847">
            <w:pPr>
              <w:tabs>
                <w:tab w:val="left" w:leader="dot" w:pos="2275"/>
              </w:tabs>
              <w:spacing w:line="360" w:lineRule="atLeast"/>
              <w:jc w:val="center"/>
              <w:rPr>
                <w:b/>
              </w:rPr>
            </w:pPr>
            <w:r w:rsidRPr="00DE0189">
              <w:rPr>
                <w:b/>
              </w:rPr>
              <w:t>KHOA KINH TẾ</w:t>
            </w:r>
          </w:p>
          <w:p w:rsidR="007618EF" w:rsidRPr="00DE0189" w:rsidRDefault="007618EF" w:rsidP="00E67847">
            <w:pPr>
              <w:tabs>
                <w:tab w:val="left" w:leader="dot" w:pos="3861"/>
              </w:tabs>
              <w:spacing w:line="360" w:lineRule="atLeast"/>
              <w:jc w:val="center"/>
              <w:rPr>
                <w:b/>
              </w:rPr>
            </w:pPr>
            <w:r w:rsidRPr="00DE0189">
              <w:rPr>
                <w:b/>
              </w:rPr>
              <w:t>BỘ MÔN: QUẢN TRỊ KINH DOANH</w:t>
            </w:r>
          </w:p>
          <w:p w:rsidR="007618EF" w:rsidRPr="00DE0189" w:rsidRDefault="007618EF" w:rsidP="00E67847">
            <w:pPr>
              <w:tabs>
                <w:tab w:val="left" w:leader="dot" w:pos="3861"/>
              </w:tabs>
              <w:spacing w:line="360" w:lineRule="atLeast"/>
              <w:jc w:val="center"/>
            </w:pPr>
            <w:r w:rsidRPr="00DE0189">
              <w:rPr>
                <w:b/>
              </w:rPr>
              <w:t>-------------------------</w:t>
            </w:r>
          </w:p>
        </w:tc>
        <w:tc>
          <w:tcPr>
            <w:tcW w:w="6162" w:type="dxa"/>
          </w:tcPr>
          <w:p w:rsidR="007618EF" w:rsidRPr="00DE0189" w:rsidRDefault="007618EF" w:rsidP="00E67847">
            <w:pPr>
              <w:tabs>
                <w:tab w:val="left" w:pos="33"/>
                <w:tab w:val="right" w:pos="5136"/>
              </w:tabs>
              <w:rPr>
                <w:b/>
              </w:rPr>
            </w:pPr>
            <w:r w:rsidRPr="00DE0189">
              <w:rPr>
                <w:b/>
              </w:rPr>
              <w:t xml:space="preserve">ĐÁP ÁN ĐỀ THI CUỐI KỲ HỌC KỲI </w:t>
            </w:r>
          </w:p>
          <w:p w:rsidR="007618EF" w:rsidRPr="00DE0189" w:rsidRDefault="007618EF" w:rsidP="00E67847">
            <w:pPr>
              <w:tabs>
                <w:tab w:val="left" w:pos="33"/>
                <w:tab w:val="right" w:pos="5136"/>
              </w:tabs>
              <w:rPr>
                <w:b/>
              </w:rPr>
            </w:pPr>
            <w:r w:rsidRPr="00DE0189">
              <w:rPr>
                <w:b/>
              </w:rPr>
              <w:t>NĂM HỌC: 2015-2016</w:t>
            </w:r>
            <w:r w:rsidRPr="00DE0189">
              <w:rPr>
                <w:b/>
              </w:rPr>
              <w:tab/>
              <w:t xml:space="preserve"> </w:t>
            </w:r>
          </w:p>
          <w:p w:rsidR="007618EF" w:rsidRPr="00DE0189" w:rsidRDefault="007618EF" w:rsidP="00E67847">
            <w:pPr>
              <w:tabs>
                <w:tab w:val="left" w:leader="dot" w:pos="33"/>
                <w:tab w:val="right" w:leader="dot" w:pos="5136"/>
              </w:tabs>
              <w:rPr>
                <w:b/>
              </w:rPr>
            </w:pPr>
            <w:r w:rsidRPr="00DE0189">
              <w:rPr>
                <w:b/>
              </w:rPr>
              <w:t>Môn: LUẬT KINH TẾ</w:t>
            </w:r>
          </w:p>
          <w:p w:rsidR="007618EF" w:rsidRPr="00DE0189" w:rsidRDefault="007618EF" w:rsidP="00E67847">
            <w:pPr>
              <w:tabs>
                <w:tab w:val="left" w:leader="dot" w:pos="33"/>
                <w:tab w:val="right" w:leader="dot" w:pos="5170"/>
              </w:tabs>
            </w:pPr>
            <w:r w:rsidRPr="00DE0189">
              <w:t>Mã môn học: BLAW 230906</w:t>
            </w:r>
          </w:p>
          <w:p w:rsidR="007618EF" w:rsidRPr="00DE0189" w:rsidRDefault="007618EF" w:rsidP="00E67847">
            <w:pPr>
              <w:tabs>
                <w:tab w:val="left" w:leader="dot" w:pos="33"/>
                <w:tab w:val="right" w:leader="dot" w:pos="2186"/>
                <w:tab w:val="right" w:leader="dot" w:pos="4454"/>
              </w:tabs>
            </w:pPr>
            <w:r w:rsidRPr="00DE0189">
              <w:t>Đề số/Mã đề:  001 Đề thi có 02 trang.</w:t>
            </w:r>
          </w:p>
          <w:p w:rsidR="007618EF" w:rsidRPr="00DE0189" w:rsidRDefault="007618EF" w:rsidP="00E67847">
            <w:pPr>
              <w:tabs>
                <w:tab w:val="left" w:pos="33"/>
                <w:tab w:val="left" w:leader="dot" w:pos="1449"/>
                <w:tab w:val="right" w:pos="5136"/>
              </w:tabs>
            </w:pPr>
            <w:r w:rsidRPr="00DE0189">
              <w:t>Thời gian: 75 phút.</w:t>
            </w:r>
          </w:p>
          <w:p w:rsidR="007618EF" w:rsidRPr="00DE0189" w:rsidRDefault="007618EF" w:rsidP="00E67847">
            <w:pPr>
              <w:tabs>
                <w:tab w:val="left" w:pos="33"/>
                <w:tab w:val="right" w:pos="4428"/>
              </w:tabs>
            </w:pPr>
            <w:r w:rsidRPr="00DE0189">
              <w:t>Được phép sử dụng tài liệu.</w:t>
            </w:r>
          </w:p>
        </w:tc>
      </w:tr>
      <w:tr w:rsidR="007618EF" w:rsidRPr="00DE0189" w:rsidTr="00E67847">
        <w:trPr>
          <w:trHeight w:val="259"/>
        </w:trPr>
        <w:tc>
          <w:tcPr>
            <w:tcW w:w="4537" w:type="dxa"/>
          </w:tcPr>
          <w:p w:rsidR="007618EF" w:rsidRPr="00DE0189" w:rsidRDefault="007618EF" w:rsidP="00E67847">
            <w:pPr>
              <w:pStyle w:val="Heading1"/>
              <w:spacing w:before="0"/>
              <w:jc w:val="center"/>
              <w:rPr>
                <w:rFonts w:ascii="Times New Roman" w:hAnsi="Times New Roman"/>
                <w:b w:val="0"/>
                <w:sz w:val="24"/>
                <w:szCs w:val="24"/>
              </w:rPr>
            </w:pPr>
          </w:p>
        </w:tc>
        <w:tc>
          <w:tcPr>
            <w:tcW w:w="6162" w:type="dxa"/>
          </w:tcPr>
          <w:p w:rsidR="007618EF" w:rsidRPr="00DE0189" w:rsidRDefault="007618EF" w:rsidP="00E67847">
            <w:pPr>
              <w:tabs>
                <w:tab w:val="left" w:pos="33"/>
                <w:tab w:val="right" w:pos="4428"/>
              </w:tabs>
              <w:rPr>
                <w:b/>
              </w:rPr>
            </w:pPr>
          </w:p>
        </w:tc>
      </w:tr>
    </w:tbl>
    <w:p w:rsidR="007618EF" w:rsidRPr="00DE0189" w:rsidRDefault="007618EF" w:rsidP="007618EF">
      <w:pPr>
        <w:tabs>
          <w:tab w:val="left" w:pos="0"/>
          <w:tab w:val="left" w:pos="284"/>
          <w:tab w:val="right" w:pos="9072"/>
        </w:tabs>
        <w:rPr>
          <w:b/>
        </w:rPr>
      </w:pPr>
    </w:p>
    <w:p w:rsidR="007618EF" w:rsidRPr="00DE0189" w:rsidRDefault="007618EF" w:rsidP="007618EF">
      <w:pPr>
        <w:pStyle w:val="NormalWeb"/>
        <w:shd w:val="clear" w:color="auto" w:fill="FFFFFF"/>
        <w:spacing w:before="0" w:beforeAutospacing="0" w:after="0" w:afterAutospacing="0" w:line="360" w:lineRule="auto"/>
        <w:jc w:val="both"/>
      </w:pPr>
      <w:r w:rsidRPr="00DE0189">
        <w:rPr>
          <w:b/>
        </w:rPr>
        <w:t>CÂU 1:</w:t>
      </w:r>
      <w:r w:rsidRPr="00DE0189">
        <w:t xml:space="preserve"> Mỗi câu nhận định đúng được 1 điểm</w:t>
      </w:r>
    </w:p>
    <w:p w:rsidR="007618EF" w:rsidRPr="00DE0189" w:rsidRDefault="007618EF" w:rsidP="007618EF">
      <w:pPr>
        <w:pStyle w:val="NormalWeb"/>
        <w:numPr>
          <w:ilvl w:val="0"/>
          <w:numId w:val="4"/>
        </w:numPr>
        <w:shd w:val="clear" w:color="auto" w:fill="FFFFFF"/>
        <w:spacing w:before="0" w:beforeAutospacing="0" w:after="0" w:afterAutospacing="0" w:line="360" w:lineRule="auto"/>
        <w:jc w:val="both"/>
      </w:pPr>
      <w:r w:rsidRPr="00DE0189">
        <w:t xml:space="preserve">SAI </w:t>
      </w:r>
    </w:p>
    <w:p w:rsidR="007618EF" w:rsidRPr="00DE0189" w:rsidRDefault="007618EF" w:rsidP="007618EF">
      <w:pPr>
        <w:pStyle w:val="NormalWeb"/>
        <w:shd w:val="clear" w:color="auto" w:fill="FFFFFF"/>
        <w:spacing w:before="0" w:beforeAutospacing="0" w:after="0" w:afterAutospacing="0" w:line="360" w:lineRule="auto"/>
        <w:ind w:left="360"/>
        <w:jc w:val="both"/>
      </w:pPr>
      <w:r w:rsidRPr="00DE0189">
        <w:t xml:space="preserve">Theo Khoản 2, Điều 36 Luật Doanh nghiệp 2014 thì “Tài sản được sử dụng vào hoạt động kinh doanh của chủ doanh nghiệp tư nhân không phải làm thủ tục chuyển quyền sở hữu cho doanh nghiệp”. </w:t>
      </w:r>
    </w:p>
    <w:p w:rsidR="007618EF" w:rsidRPr="00DE0189" w:rsidRDefault="007618EF" w:rsidP="007618EF">
      <w:pPr>
        <w:pStyle w:val="NormalWeb"/>
        <w:numPr>
          <w:ilvl w:val="0"/>
          <w:numId w:val="4"/>
        </w:numPr>
        <w:shd w:val="clear" w:color="auto" w:fill="FFFFFF"/>
        <w:spacing w:before="0" w:beforeAutospacing="0" w:after="0" w:afterAutospacing="0" w:line="360" w:lineRule="auto"/>
        <w:jc w:val="both"/>
      </w:pPr>
      <w:r w:rsidRPr="00DE0189">
        <w:t>SAI</w:t>
      </w:r>
    </w:p>
    <w:p w:rsidR="007618EF" w:rsidRPr="00DE0189" w:rsidRDefault="007618EF" w:rsidP="007618EF">
      <w:pPr>
        <w:pStyle w:val="NormalWeb"/>
        <w:shd w:val="clear" w:color="auto" w:fill="FFFFFF"/>
        <w:spacing w:before="0" w:beforeAutospacing="0" w:after="0" w:afterAutospacing="0" w:line="360" w:lineRule="auto"/>
        <w:ind w:left="360"/>
        <w:jc w:val="both"/>
        <w:rPr>
          <w:lang w:val="es-ES"/>
        </w:rPr>
      </w:pPr>
      <w:r w:rsidRPr="00DE0189">
        <w:t>Theo khoản 2, Điều 317 Bộ luật dân sự 2015 thì “</w:t>
      </w:r>
      <w:r w:rsidRPr="00DE0189">
        <w:rPr>
          <w:lang w:val="es-ES"/>
        </w:rPr>
        <w:t>Tài sản thế chấp do bên thế chấp giữ. Các bên có thể thỏa thuận giao cho người thứ ba giữ tài sản thế chấp”</w:t>
      </w:r>
    </w:p>
    <w:p w:rsidR="007618EF" w:rsidRPr="00DE0189" w:rsidRDefault="007618EF" w:rsidP="007618EF">
      <w:pPr>
        <w:pStyle w:val="NormalWeb"/>
        <w:numPr>
          <w:ilvl w:val="0"/>
          <w:numId w:val="4"/>
        </w:numPr>
        <w:shd w:val="clear" w:color="auto" w:fill="FFFFFF"/>
        <w:spacing w:before="0" w:beforeAutospacing="0" w:after="0" w:afterAutospacing="0" w:line="360" w:lineRule="auto"/>
        <w:jc w:val="both"/>
      </w:pPr>
      <w:r w:rsidRPr="00DE0189">
        <w:rPr>
          <w:lang w:val="es-ES"/>
        </w:rPr>
        <w:t>SAI</w:t>
      </w:r>
    </w:p>
    <w:p w:rsidR="007618EF" w:rsidRPr="00DE0189" w:rsidRDefault="007618EF" w:rsidP="007618EF">
      <w:pPr>
        <w:pStyle w:val="NormalWeb"/>
        <w:shd w:val="clear" w:color="auto" w:fill="FFFFFF"/>
        <w:spacing w:before="0" w:beforeAutospacing="0" w:after="0" w:afterAutospacing="0" w:line="360" w:lineRule="auto"/>
        <w:ind w:left="360"/>
        <w:jc w:val="both"/>
      </w:pPr>
      <w:r w:rsidRPr="00DE0189">
        <w:t xml:space="preserve">Theo Điều 300 Luật thương mại 2005 thì điều kiện phạt vi phạm không cần phải có thiệt hại chỉ cần có điều kiện vi phạm Hợp đồng và các bên đã thỏa thuận về phạt vi phạm trong Hợp đồng. </w:t>
      </w:r>
    </w:p>
    <w:p w:rsidR="007618EF" w:rsidRPr="00DE0189" w:rsidRDefault="007618EF" w:rsidP="007618EF">
      <w:pPr>
        <w:pStyle w:val="NormalWeb"/>
        <w:numPr>
          <w:ilvl w:val="0"/>
          <w:numId w:val="4"/>
        </w:numPr>
        <w:shd w:val="clear" w:color="auto" w:fill="FFFFFF"/>
        <w:spacing w:before="0" w:beforeAutospacing="0" w:after="0" w:afterAutospacing="0" w:line="360" w:lineRule="auto"/>
        <w:jc w:val="both"/>
      </w:pPr>
      <w:r w:rsidRPr="00DE0189">
        <w:t>ĐÚNG</w:t>
      </w:r>
    </w:p>
    <w:p w:rsidR="007618EF" w:rsidRPr="00DE0189" w:rsidRDefault="007618EF" w:rsidP="007618EF">
      <w:pPr>
        <w:pStyle w:val="NormalWeb"/>
        <w:shd w:val="clear" w:color="auto" w:fill="FFFFFF"/>
        <w:spacing w:before="0" w:beforeAutospacing="0" w:after="0" w:afterAutospacing="0" w:line="360" w:lineRule="auto"/>
        <w:ind w:left="360"/>
        <w:jc w:val="both"/>
      </w:pPr>
      <w:r w:rsidRPr="00DE0189">
        <w:t>Theo quy định tại Điều 67 Luật doanh nghiệp 2014</w:t>
      </w:r>
    </w:p>
    <w:p w:rsidR="007618EF" w:rsidRPr="00DE0189" w:rsidRDefault="007618EF" w:rsidP="00517396">
      <w:pPr>
        <w:pStyle w:val="NormalWeb"/>
        <w:numPr>
          <w:ilvl w:val="0"/>
          <w:numId w:val="4"/>
        </w:numPr>
        <w:shd w:val="clear" w:color="auto" w:fill="FFFFFF"/>
        <w:spacing w:before="0" w:beforeAutospacing="0" w:after="0" w:afterAutospacing="0" w:line="360" w:lineRule="auto"/>
        <w:jc w:val="both"/>
      </w:pPr>
      <w:r w:rsidRPr="00DE0189">
        <w:t>SAI</w:t>
      </w:r>
    </w:p>
    <w:p w:rsidR="00517396" w:rsidRPr="00DE0189" w:rsidRDefault="00517396" w:rsidP="00517396">
      <w:pPr>
        <w:pStyle w:val="NormalWeb"/>
        <w:shd w:val="clear" w:color="auto" w:fill="FFFFFF"/>
        <w:spacing w:before="0" w:beforeAutospacing="0" w:after="0" w:afterAutospacing="0" w:line="360" w:lineRule="auto"/>
        <w:ind w:left="360"/>
        <w:jc w:val="both"/>
      </w:pPr>
      <w:r w:rsidRPr="00DE0189">
        <w:t xml:space="preserve">Theo Điều 172 Luật Doanh nghiệp 2014, trong công ty hợp danh thì thành viên hợp danh phải là cá nhân còn thành viên góp vốn thì có thể là cá nhân hoặc tổ chức. </w:t>
      </w:r>
    </w:p>
    <w:p w:rsidR="007618EF" w:rsidRPr="00DE0189" w:rsidRDefault="007618EF" w:rsidP="007618EF">
      <w:pPr>
        <w:tabs>
          <w:tab w:val="left" w:pos="0"/>
          <w:tab w:val="left" w:pos="284"/>
          <w:tab w:val="right" w:pos="9072"/>
        </w:tabs>
        <w:spacing w:line="360" w:lineRule="auto"/>
      </w:pPr>
      <w:r w:rsidRPr="00DE0189">
        <w:rPr>
          <w:b/>
        </w:rPr>
        <w:t xml:space="preserve">Câu 2: </w:t>
      </w:r>
      <w:r w:rsidRPr="00DE0189">
        <w:t xml:space="preserve">(2  điểm) </w:t>
      </w:r>
    </w:p>
    <w:p w:rsidR="00517396" w:rsidRPr="00DE0189" w:rsidRDefault="00517396" w:rsidP="00517396">
      <w:pPr>
        <w:pStyle w:val="ListParagraph"/>
        <w:numPr>
          <w:ilvl w:val="0"/>
          <w:numId w:val="6"/>
        </w:numPr>
        <w:shd w:val="clear" w:color="auto" w:fill="FFFFFF" w:themeFill="background1"/>
        <w:tabs>
          <w:tab w:val="left" w:pos="0"/>
          <w:tab w:val="left" w:pos="284"/>
          <w:tab w:val="right" w:pos="9072"/>
        </w:tabs>
        <w:spacing w:line="360" w:lineRule="auto"/>
      </w:pPr>
      <w:r w:rsidRPr="00DE0189">
        <w:tab/>
      </w:r>
      <w:bookmarkStart w:id="0" w:name="cumtu_3"/>
      <w:r w:rsidRPr="00DE0189">
        <w:t xml:space="preserve">Theo Điều 6, Luật trọng tài thương mại 2010 thì trong tình huống trên Tòa án không có thẩm quyền giải quyết trừ trường hợp thỏa thuận trọng tài vô hiệu hoặc thỏa thuận trọng tài không thể thực hiện được. </w:t>
      </w:r>
      <w:bookmarkEnd w:id="0"/>
    </w:p>
    <w:p w:rsidR="00517396" w:rsidRPr="00DE0189" w:rsidRDefault="00517396" w:rsidP="00517396">
      <w:pPr>
        <w:pStyle w:val="ListParagraph"/>
        <w:numPr>
          <w:ilvl w:val="0"/>
          <w:numId w:val="6"/>
        </w:numPr>
        <w:shd w:val="clear" w:color="auto" w:fill="FFFFFF" w:themeFill="background1"/>
        <w:tabs>
          <w:tab w:val="left" w:pos="0"/>
          <w:tab w:val="left" w:pos="284"/>
          <w:tab w:val="right" w:pos="9072"/>
        </w:tabs>
        <w:spacing w:line="360" w:lineRule="auto"/>
      </w:pPr>
      <w:r w:rsidRPr="00DE0189">
        <w:t xml:space="preserve">So sánh ưu và nhược điểm của Tòa án và trọng tài thương mại cần nêu được các tiêu chí như: điều kiện giải quyết, </w:t>
      </w:r>
      <w:r w:rsidR="004068C8" w:rsidRPr="00DE0189">
        <w:t>t</w:t>
      </w:r>
      <w:r w:rsidRPr="00DE0189">
        <w:t>hủ tục, thời gian,</w:t>
      </w:r>
      <w:r w:rsidR="004068C8" w:rsidRPr="00DE0189">
        <w:t xml:space="preserve"> chi phí, tính chung thẩm …</w:t>
      </w:r>
    </w:p>
    <w:p w:rsidR="00517396" w:rsidRPr="00DE0189" w:rsidRDefault="00517396" w:rsidP="00517396">
      <w:pPr>
        <w:shd w:val="clear" w:color="auto" w:fill="FFFFFF" w:themeFill="background1"/>
        <w:tabs>
          <w:tab w:val="left" w:pos="0"/>
          <w:tab w:val="left" w:pos="284"/>
          <w:tab w:val="right" w:pos="9072"/>
        </w:tabs>
        <w:spacing w:line="360" w:lineRule="auto"/>
      </w:pPr>
    </w:p>
    <w:p w:rsidR="007618EF" w:rsidRPr="00DE0189" w:rsidRDefault="007618EF" w:rsidP="007618EF">
      <w:pPr>
        <w:tabs>
          <w:tab w:val="left" w:pos="0"/>
          <w:tab w:val="left" w:pos="284"/>
          <w:tab w:val="left" w:leader="dot" w:pos="709"/>
          <w:tab w:val="left" w:leader="dot" w:pos="993"/>
          <w:tab w:val="right" w:pos="9072"/>
        </w:tabs>
        <w:spacing w:line="360" w:lineRule="auto"/>
        <w:rPr>
          <w:b/>
        </w:rPr>
      </w:pPr>
      <w:r w:rsidRPr="00DE0189">
        <w:rPr>
          <w:b/>
        </w:rPr>
        <w:t xml:space="preserve">Câu 3:  </w:t>
      </w:r>
      <w:r w:rsidRPr="00DE0189">
        <w:t>(3 điểm)</w:t>
      </w:r>
      <w:r w:rsidRPr="00DE0189">
        <w:rPr>
          <w:b/>
        </w:rPr>
        <w:t xml:space="preserve"> </w:t>
      </w:r>
    </w:p>
    <w:p w:rsidR="007E6A06" w:rsidRPr="00DE0189" w:rsidRDefault="004068C8" w:rsidP="007E6A06">
      <w:pPr>
        <w:pStyle w:val="ListParagraph"/>
        <w:numPr>
          <w:ilvl w:val="0"/>
          <w:numId w:val="7"/>
        </w:numPr>
        <w:ind w:left="90" w:firstLine="0"/>
        <w:jc w:val="both"/>
      </w:pPr>
      <w:r w:rsidRPr="00DE0189">
        <w:t>Theo quy định tại Điều 153 Luật doanh nghiệp 2014 thì chủ tịch Hội đồng quàn trị là thành viên Hội đồng quản trị mà theo Điều 151 thì điều kiện để trở thành thành viên Hội đồng quản trị không nhất thiết phải là cổ đông công ty.</w:t>
      </w:r>
    </w:p>
    <w:p w:rsidR="007618EF" w:rsidRPr="00DE0189" w:rsidRDefault="004068C8" w:rsidP="007E6A06">
      <w:pPr>
        <w:pStyle w:val="ListParagraph"/>
        <w:ind w:left="90"/>
        <w:jc w:val="both"/>
      </w:pPr>
      <w:r w:rsidRPr="00DE0189">
        <w:t xml:space="preserve"> Nếu ông Nguyên đáp ứng các yêu cầu </w:t>
      </w:r>
      <w:r w:rsidR="007E6A06" w:rsidRPr="00DE0189">
        <w:t xml:space="preserve">và được </w:t>
      </w:r>
      <w:r w:rsidR="00DE0189" w:rsidRPr="00DE0189">
        <w:t>Đại hội đồng cổ đông bầu</w:t>
      </w:r>
      <w:r w:rsidR="007E6A06" w:rsidRPr="00DE0189">
        <w:t xml:space="preserve"> thì có thể trở thành thành viên Hội đồng quản trị và nếu được Hội đồng quản trị bầu thì vẫn có thể làm chủ tịch Hội đồng quản trị. </w:t>
      </w:r>
    </w:p>
    <w:p w:rsidR="007E6A06" w:rsidRPr="00DE0189" w:rsidRDefault="007E6A06" w:rsidP="007E6A06">
      <w:pPr>
        <w:pStyle w:val="ListParagraph"/>
        <w:numPr>
          <w:ilvl w:val="0"/>
          <w:numId w:val="7"/>
        </w:numPr>
        <w:ind w:left="90" w:firstLine="0"/>
        <w:jc w:val="both"/>
      </w:pPr>
      <w:r w:rsidRPr="00DE0189">
        <w:t xml:space="preserve">Theo quy định tại Điều 5 Luật phá sản 2014 thì </w:t>
      </w:r>
      <w:r w:rsidRPr="00DE0189">
        <w:rPr>
          <w:color w:val="000000"/>
        </w:rPr>
        <w:t>Cổ đông hoặc nhóm cổ đông sở hữu từ 20% số cổ phần phổ thông trở lên trong thời gian liên tục ít nhất 06 tháng có quyền nộp đơn yêu cầu mở thủ tục phá sản khi công ty cổ phần mất khả năng thanh toán</w:t>
      </w:r>
      <w:r w:rsidR="00DE0189" w:rsidRPr="00DE0189">
        <w:rPr>
          <w:color w:val="000000"/>
        </w:rPr>
        <w:t xml:space="preserve"> vì</w:t>
      </w:r>
      <w:r w:rsidRPr="00DE0189">
        <w:rPr>
          <w:color w:val="000000"/>
        </w:rPr>
        <w:t xml:space="preserve"> bà Như </w:t>
      </w:r>
      <w:r w:rsidR="00DE0189" w:rsidRPr="00DE0189">
        <w:rPr>
          <w:color w:val="000000"/>
        </w:rPr>
        <w:t xml:space="preserve">chỉ </w:t>
      </w:r>
      <w:r w:rsidRPr="00DE0189">
        <w:rPr>
          <w:color w:val="000000"/>
        </w:rPr>
        <w:t xml:space="preserve">sở hữu 15% cổ phần phổ thông </w:t>
      </w:r>
      <w:r w:rsidR="007E0513">
        <w:rPr>
          <w:color w:val="000000"/>
        </w:rPr>
        <w:t xml:space="preserve">và điều lệ công ty cũng không có quy định khác với quy định pháp luật </w:t>
      </w:r>
      <w:r w:rsidRPr="00DE0189">
        <w:rPr>
          <w:color w:val="000000"/>
        </w:rPr>
        <w:t xml:space="preserve">nên </w:t>
      </w:r>
      <w:r w:rsidR="007E0513">
        <w:rPr>
          <w:color w:val="000000"/>
        </w:rPr>
        <w:t xml:space="preserve">bà </w:t>
      </w:r>
      <w:r w:rsidRPr="00DE0189">
        <w:rPr>
          <w:color w:val="000000"/>
        </w:rPr>
        <w:t xml:space="preserve">không có quyền nộp đơn. </w:t>
      </w:r>
    </w:p>
    <w:p w:rsidR="007E6A06" w:rsidRPr="00DE0189" w:rsidRDefault="007E6A06" w:rsidP="007E6A06">
      <w:pPr>
        <w:pStyle w:val="ListParagraph"/>
        <w:ind w:left="1080"/>
        <w:jc w:val="both"/>
        <w:rPr>
          <w:i/>
        </w:rPr>
      </w:pPr>
    </w:p>
    <w:p w:rsidR="007618EF" w:rsidRPr="00DE0189" w:rsidRDefault="00A7355F" w:rsidP="007618EF">
      <w:pPr>
        <w:pStyle w:val="ListParagraph"/>
        <w:ind w:left="1004"/>
        <w:rPr>
          <w:i/>
        </w:rPr>
      </w:pPr>
      <w:r w:rsidRPr="00A7355F">
        <w:rPr>
          <w:noProof/>
          <w:lang w:eastAsia="zh-TW"/>
        </w:rPr>
        <w:pict>
          <v:shape id="_x0000_s1027" type="#_x0000_t202" style="position:absolute;left:0;text-align:left;margin-left:279.15pt;margin-top:2.25pt;width:180.65pt;height:91.9pt;z-index:251662336;mso-width-percent:400;mso-height-percent:200;mso-width-percent:400;mso-height-percent:200;mso-width-relative:margin;mso-height-relative:margin" strokecolor="white">
            <v:textbox style="mso-next-textbox:#_x0000_s1027;mso-fit-shape-to-text:t">
              <w:txbxContent>
                <w:p w:rsidR="007618EF" w:rsidRPr="00323A79" w:rsidRDefault="007618EF" w:rsidP="007618EF">
                  <w:pPr>
                    <w:jc w:val="center"/>
                    <w:rPr>
                      <w:sz w:val="26"/>
                    </w:rPr>
                  </w:pPr>
                  <w:r w:rsidRPr="00323A79">
                    <w:rPr>
                      <w:sz w:val="26"/>
                    </w:rPr>
                    <w:t xml:space="preserve">Ngày  </w:t>
                  </w:r>
                  <w:r>
                    <w:rPr>
                      <w:sz w:val="26"/>
                    </w:rPr>
                    <w:t xml:space="preserve">  tháng</w:t>
                  </w:r>
                  <w:r w:rsidR="00151F79">
                    <w:rPr>
                      <w:sz w:val="26"/>
                    </w:rPr>
                    <w:t xml:space="preserve"> </w:t>
                  </w:r>
                  <w:r w:rsidRPr="00323A79">
                    <w:rPr>
                      <w:sz w:val="26"/>
                    </w:rPr>
                    <w:t>năm 20</w:t>
                  </w:r>
                  <w:r>
                    <w:rPr>
                      <w:sz w:val="26"/>
                    </w:rPr>
                    <w:t>1</w:t>
                  </w:r>
                  <w:r w:rsidR="00151F79">
                    <w:rPr>
                      <w:sz w:val="26"/>
                    </w:rPr>
                    <w:t>7</w:t>
                  </w:r>
                </w:p>
                <w:p w:rsidR="007618EF" w:rsidRPr="00DE2D1E" w:rsidRDefault="007618EF" w:rsidP="007618EF">
                  <w:pPr>
                    <w:jc w:val="center"/>
                    <w:rPr>
                      <w:b/>
                    </w:rPr>
                  </w:pPr>
                  <w:r w:rsidRPr="00DE2D1E">
                    <w:rPr>
                      <w:b/>
                    </w:rPr>
                    <w:t>Thông qua bộ môn</w:t>
                  </w:r>
                </w:p>
                <w:p w:rsidR="007618EF" w:rsidRPr="00DE2D1E" w:rsidRDefault="007618EF" w:rsidP="007618EF">
                  <w:pPr>
                    <w:ind w:left="360"/>
                    <w:jc w:val="center"/>
                    <w:rPr>
                      <w:b/>
                    </w:rPr>
                  </w:pPr>
                </w:p>
                <w:p w:rsidR="007618EF" w:rsidRDefault="007618EF" w:rsidP="007618EF">
                  <w:pPr>
                    <w:jc w:val="center"/>
                    <w:rPr>
                      <w:i/>
                    </w:rPr>
                  </w:pPr>
                </w:p>
                <w:p w:rsidR="007618EF" w:rsidRDefault="007618EF" w:rsidP="007618EF">
                  <w:pPr>
                    <w:jc w:val="center"/>
                    <w:rPr>
                      <w:i/>
                    </w:rPr>
                  </w:pPr>
                </w:p>
                <w:p w:rsidR="007618EF" w:rsidRDefault="007618EF" w:rsidP="007618EF">
                  <w:pPr>
                    <w:jc w:val="center"/>
                    <w:rPr>
                      <w:i/>
                    </w:rPr>
                  </w:pPr>
                </w:p>
                <w:p w:rsidR="007618EF" w:rsidRDefault="007618EF" w:rsidP="007618EF">
                  <w:pPr>
                    <w:jc w:val="center"/>
                  </w:pPr>
                </w:p>
              </w:txbxContent>
            </v:textbox>
          </v:shape>
        </w:pict>
      </w:r>
    </w:p>
    <w:p w:rsidR="007618EF" w:rsidRPr="00DE0189" w:rsidRDefault="007618EF" w:rsidP="007618EF">
      <w:pPr>
        <w:pStyle w:val="ListParagraph"/>
        <w:ind w:left="1004"/>
        <w:rPr>
          <w:i/>
        </w:rPr>
      </w:pPr>
    </w:p>
    <w:p w:rsidR="007618EF" w:rsidRPr="00DE0189" w:rsidRDefault="007618EF" w:rsidP="007618EF">
      <w:pPr>
        <w:ind w:left="720"/>
        <w:rPr>
          <w:color w:val="C00000"/>
        </w:rPr>
      </w:pPr>
      <w:r w:rsidRPr="00DE0189">
        <w:tab/>
      </w:r>
      <w:r w:rsidRPr="00DE0189">
        <w:tab/>
      </w:r>
      <w:r w:rsidRPr="00DE0189">
        <w:tab/>
      </w:r>
      <w:r w:rsidRPr="00DE0189">
        <w:tab/>
      </w:r>
    </w:p>
    <w:p w:rsidR="007618EF" w:rsidRPr="00DE0189" w:rsidRDefault="007618EF"/>
    <w:sectPr w:rsidR="007618EF" w:rsidRPr="00DE0189" w:rsidSect="00B64F8C">
      <w:pgSz w:w="12240" w:h="15840"/>
      <w:pgMar w:top="99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76CFD"/>
    <w:multiLevelType w:val="hybridMultilevel"/>
    <w:tmpl w:val="5D6EBC7C"/>
    <w:lvl w:ilvl="0" w:tplc="CEEE3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C110CE"/>
    <w:multiLevelType w:val="hybridMultilevel"/>
    <w:tmpl w:val="A322B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0E7A0A"/>
    <w:multiLevelType w:val="hybridMultilevel"/>
    <w:tmpl w:val="EC56526C"/>
    <w:lvl w:ilvl="0" w:tplc="AC9447F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55C36BE2"/>
    <w:multiLevelType w:val="hybridMultilevel"/>
    <w:tmpl w:val="741E08E0"/>
    <w:lvl w:ilvl="0" w:tplc="B07E561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7E20DC"/>
    <w:multiLevelType w:val="hybridMultilevel"/>
    <w:tmpl w:val="FA424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464AB"/>
    <w:multiLevelType w:val="hybridMultilevel"/>
    <w:tmpl w:val="DDAED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595D2D"/>
    <w:multiLevelType w:val="hybridMultilevel"/>
    <w:tmpl w:val="6388BC00"/>
    <w:lvl w:ilvl="0" w:tplc="3600E86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B64F8C"/>
    <w:rsid w:val="00151F79"/>
    <w:rsid w:val="00205887"/>
    <w:rsid w:val="002834FE"/>
    <w:rsid w:val="002B5928"/>
    <w:rsid w:val="002E2F7B"/>
    <w:rsid w:val="00337EBD"/>
    <w:rsid w:val="004068C8"/>
    <w:rsid w:val="00517396"/>
    <w:rsid w:val="006633FA"/>
    <w:rsid w:val="006F2897"/>
    <w:rsid w:val="007618EF"/>
    <w:rsid w:val="007E0513"/>
    <w:rsid w:val="007E6A06"/>
    <w:rsid w:val="008E3039"/>
    <w:rsid w:val="00A7355F"/>
    <w:rsid w:val="00B64F8C"/>
    <w:rsid w:val="00D44ED3"/>
    <w:rsid w:val="00DA6A8E"/>
    <w:rsid w:val="00DE0189"/>
    <w:rsid w:val="00E44F89"/>
    <w:rsid w:val="00EF6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4E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D44ED3"/>
    <w:pPr>
      <w:keepNext/>
      <w:ind w:left="720"/>
      <w:outlineLvl w:val="2"/>
    </w:pPr>
    <w:rPr>
      <w:rFonts w:ascii="VNI-Times" w:hAnsi="VNI-Times" w:cs="VNI-Time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ED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D44ED3"/>
    <w:rPr>
      <w:rFonts w:ascii="VNI-Times" w:eastAsia="Times New Roman" w:hAnsi="VNI-Times" w:cs="VNI-Times"/>
      <w:i/>
      <w:iCs/>
      <w:sz w:val="24"/>
      <w:szCs w:val="24"/>
    </w:rPr>
  </w:style>
  <w:style w:type="character" w:styleId="Strong">
    <w:name w:val="Strong"/>
    <w:basedOn w:val="DefaultParagraphFont"/>
    <w:uiPriority w:val="22"/>
    <w:qFormat/>
    <w:rsid w:val="00D44ED3"/>
    <w:rPr>
      <w:b/>
      <w:bCs/>
    </w:rPr>
  </w:style>
  <w:style w:type="character" w:styleId="Emphasis">
    <w:name w:val="Emphasis"/>
    <w:basedOn w:val="DefaultParagraphFont"/>
    <w:uiPriority w:val="20"/>
    <w:qFormat/>
    <w:rsid w:val="00D44ED3"/>
    <w:rPr>
      <w:rFonts w:cs="Times New Roman"/>
      <w:i/>
      <w:iCs/>
    </w:rPr>
  </w:style>
  <w:style w:type="paragraph" w:styleId="ListParagraph">
    <w:name w:val="List Paragraph"/>
    <w:basedOn w:val="Normal"/>
    <w:uiPriority w:val="34"/>
    <w:qFormat/>
    <w:rsid w:val="00D44ED3"/>
    <w:pPr>
      <w:ind w:left="720"/>
      <w:contextualSpacing/>
    </w:pPr>
  </w:style>
  <w:style w:type="paragraph" w:styleId="NormalWeb">
    <w:name w:val="Normal (Web)"/>
    <w:basedOn w:val="Normal"/>
    <w:uiPriority w:val="99"/>
    <w:unhideWhenUsed/>
    <w:rsid w:val="00B64F8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NGA</dc:creator>
  <cp:lastModifiedBy>TUYET NGA</cp:lastModifiedBy>
  <cp:revision>3</cp:revision>
  <dcterms:created xsi:type="dcterms:W3CDTF">2017-05-30T07:51:00Z</dcterms:created>
  <dcterms:modified xsi:type="dcterms:W3CDTF">2017-06-04T22:38:00Z</dcterms:modified>
</cp:coreProperties>
</file>